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3BC7" w14:textId="42D0B312" w:rsidR="009072B7" w:rsidRPr="009072B7" w:rsidRDefault="009072B7" w:rsidP="009072B7"/>
    <w:p w14:paraId="04F36F9D" w14:textId="5B7281C5" w:rsidR="002331CD" w:rsidRDefault="0002008F">
      <w:r>
        <w:rPr>
          <w:noProof/>
        </w:rPr>
        <w:drawing>
          <wp:anchor distT="0" distB="0" distL="114300" distR="114300" simplePos="0" relativeHeight="251679744" behindDoc="0" locked="0" layoutInCell="1" allowOverlap="1" wp14:anchorId="51B6AD1C" wp14:editId="250EE77B">
            <wp:simplePos x="0" y="0"/>
            <wp:positionH relativeFrom="margin">
              <wp:align>center</wp:align>
            </wp:positionH>
            <wp:positionV relativeFrom="paragraph">
              <wp:posOffset>8347710</wp:posOffset>
            </wp:positionV>
            <wp:extent cx="678180" cy="935020"/>
            <wp:effectExtent l="0" t="0" r="7620" b="0"/>
            <wp:wrapNone/>
            <wp:docPr id="60172840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7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30582B95">
                <wp:simplePos x="0" y="0"/>
                <wp:positionH relativeFrom="margin">
                  <wp:posOffset>-635</wp:posOffset>
                </wp:positionH>
                <wp:positionV relativeFrom="paragraph">
                  <wp:posOffset>2186305</wp:posOffset>
                </wp:positionV>
                <wp:extent cx="5838825" cy="669036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69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14126B16" w:rsidR="00987E2A" w:rsidRPr="00D9758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AC5E0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Közbiztonság </w:t>
                            </w:r>
                            <w:r w:rsidR="00954EA9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fokozása közvilágítás fejlesztésével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954EA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Orosztony, Zalamerenye, Nemespátró, Nagyrécse, Zalakomár, Kisrécse, Galambok, Murakeresztúr, Zalaújlak, Sand, Nagybakónak, Kerecseny, Surd, Zalaszentbalázs, Hahót, Balatonmagyaród, </w:t>
                            </w:r>
                            <w:r w:rsidR="00173BF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Zalaszentjakab, Liszó, Kacorlak, Zalakaros, Újudvar, Garabonc, Nagyrada, Belezna, Fityeház 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települések önkormányzatai közösen, konzorciumi</w:t>
                            </w:r>
                            <w:r w:rsidR="009768EA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D9758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D97586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412E6922" w:rsidR="00987E2A" w:rsidRPr="00D9758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3BF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43 420 600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915615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Zalakaros Város </w:t>
                            </w:r>
                            <w:r w:rsidRPr="008B796F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Önkormányzata </w:t>
                            </w:r>
                            <w:r w:rsidR="00915615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>2.440.800.-</w:t>
                            </w:r>
                            <w:r w:rsidR="006C7370" w:rsidRPr="008B796F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B796F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>Ft</w:t>
                            </w: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támogatásban részesült.</w:t>
                            </w:r>
                          </w:p>
                          <w:p w14:paraId="5E121ECE" w14:textId="77777777" w:rsidR="00987E2A" w:rsidRPr="00D97586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25E91D98" w:rsidR="00987E2A" w:rsidRPr="00AE3B15" w:rsidRDefault="006C7370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87E2A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173BF7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Közbiztonság fokozása közvilágítás fejlesztésével</w:t>
                            </w:r>
                            <w:r w:rsidR="00987E2A" w:rsidRPr="00D9758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74138228" w14:textId="651FDD01" w:rsidR="00D97586" w:rsidRPr="00C44881" w:rsidRDefault="00C44881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</w:rPr>
                            </w:pPr>
                            <w:r w:rsidRPr="00C44881">
                              <w:rPr>
                                <w:color w:val="5C768E" w:themeColor="accent1"/>
                                <w:sz w:val="22"/>
                              </w:rPr>
                              <w:t xml:space="preserve">A projekt célja, hogy a térség élhetőbbé tétele érdekében a közbiztonságot fokozzuk. A közbiztonság erősödésével növekedik a lakosság elégedettsége, a zavartalan mindennapi élethez való joguk is erősítésre kerül. A lakosság elégedettségével, biztonságérzetével egyenesen arányosan növeljük a térségben maradási szándékukat. A közbiztonság fejlesztése érdekében az érintett településeken a közvilágítást fejlesztjük a forgalmasabb és </w:t>
                            </w:r>
                            <w:proofErr w:type="spellStart"/>
                            <w:r w:rsidRPr="00C44881">
                              <w:rPr>
                                <w:color w:val="5C768E" w:themeColor="accent1"/>
                                <w:sz w:val="22"/>
                              </w:rPr>
                              <w:t>frekventáltabb</w:t>
                            </w:r>
                            <w:proofErr w:type="spellEnd"/>
                            <w:r w:rsidRPr="00C44881">
                              <w:rPr>
                                <w:color w:val="5C768E" w:themeColor="accent1"/>
                                <w:sz w:val="22"/>
                              </w:rPr>
                              <w:t xml:space="preserve"> helyszíneken, valamint a lakott külterületi területeken. A fejlesztés révén az éjszakai órákban is világosban közlekedhetnek a lakosok, turisták, így biztonságban érezhetik magukat a megvalósítást követően.</w:t>
                            </w:r>
                          </w:p>
                          <w:p w14:paraId="2CB3194A" w14:textId="77777777" w:rsidR="00C44881" w:rsidRDefault="00C44881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14E507EB" w14:textId="126E4E00" w:rsidR="00C44881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2025.0</w:t>
                            </w:r>
                            <w:r w:rsidR="00773E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9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.01.</w:t>
                            </w:r>
                          </w:p>
                          <w:p w14:paraId="6839781B" w14:textId="5E15C742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773E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7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="00773E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08</w:t>
                            </w:r>
                            <w:r w:rsidR="006C73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26D05DD1" w:rsidR="009C2B3C" w:rsidRDefault="00915615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Zalakaros</w:t>
                            </w:r>
                            <w:r w:rsidR="00C25407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2025.11.12.</w:t>
                            </w:r>
                          </w:p>
                          <w:p w14:paraId="62EC0099" w14:textId="77777777" w:rsidR="009072B7" w:rsidRDefault="009072B7" w:rsidP="009072B7">
                            <w:pPr>
                              <w:pStyle w:val="Norm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FD609" wp14:editId="3022D2B0">
                                  <wp:extent cx="6964680" cy="3352800"/>
                                  <wp:effectExtent l="0" t="0" r="7620" b="0"/>
                                  <wp:docPr id="4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4680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4A6B78" w14:textId="77777777" w:rsidR="00D9639F" w:rsidRDefault="00D9639F" w:rsidP="00D9639F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07DFF80" w14:textId="77777777" w:rsidR="00D9639F" w:rsidRDefault="00D9639F" w:rsidP="00D9639F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D62F298" w14:textId="5B09C2AB" w:rsidR="00D9639F" w:rsidRDefault="00D9639F" w:rsidP="00D9639F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címer helye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-.05pt;margin-top:172.15pt;width:459.75pt;height:526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pJGAIAAC0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" filled="f" stroked="f" strokeweight=".5pt">
                <v:textbox>
                  <w:txbxContent>
                    <w:p w14:paraId="2E2960B5" w14:textId="14126B16" w:rsidR="00987E2A" w:rsidRPr="00D9758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AC5E0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Közbiztonság </w:t>
                      </w:r>
                      <w:r w:rsidR="00954EA9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fokozása közvilágítás fejlesztésével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954EA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Orosztony, Zalamerenye, Nemespátró, Nagyrécse, Zalakomár, Kisrécse, Galambok, Murakeresztúr, Zalaújlak, Sand, Nagybakónak, Kerecseny, Surd, Zalaszentbalázs, Hahót, Balatonmagyaród, </w:t>
                      </w:r>
                      <w:r w:rsidR="00173BF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Zalaszentjakab, Liszó, Kacorlak, Zalakaros, Újudvar, Garabonc, Nagyrada, Belezna, Fityeház 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települések önkormányzatai közösen, konzorciumi</w:t>
                      </w:r>
                      <w:r w:rsidR="009768EA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D9758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D97586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412E6922" w:rsidR="00987E2A" w:rsidRPr="00D9758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73BF7">
                        <w:rPr>
                          <w:color w:val="5C768E" w:themeColor="accent1"/>
                          <w:sz w:val="22"/>
                          <w:szCs w:val="22"/>
                        </w:rPr>
                        <w:t>43 420 600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915615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 xml:space="preserve">Zalakaros Város </w:t>
                      </w:r>
                      <w:r w:rsidRPr="008B796F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 xml:space="preserve">Önkormányzata </w:t>
                      </w:r>
                      <w:r w:rsidR="00915615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>2.440.800.-</w:t>
                      </w:r>
                      <w:r w:rsidR="006C7370" w:rsidRPr="008B796F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8B796F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>Ft</w:t>
                      </w: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támogatásban részesült.</w:t>
                      </w:r>
                    </w:p>
                    <w:p w14:paraId="5E121ECE" w14:textId="77777777" w:rsidR="00987E2A" w:rsidRPr="00D97586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25E91D98" w:rsidR="00987E2A" w:rsidRPr="00AE3B15" w:rsidRDefault="006C7370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87E2A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173BF7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Közbiztonság fokozása közvilágítás fejlesztésével</w:t>
                      </w:r>
                      <w:r w:rsidR="00987E2A" w:rsidRPr="00D97586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74138228" w14:textId="651FDD01" w:rsidR="00D97586" w:rsidRPr="00C44881" w:rsidRDefault="00C44881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</w:rPr>
                      </w:pPr>
                      <w:r w:rsidRPr="00C44881">
                        <w:rPr>
                          <w:color w:val="5C768E" w:themeColor="accent1"/>
                          <w:sz w:val="22"/>
                        </w:rPr>
                        <w:t xml:space="preserve">A projekt célja, hogy a térség élhetőbbé tétele érdekében a közbiztonságot fokozzuk. A közbiztonság erősödésével növekedik a lakosság elégedettsége, a zavartalan mindennapi élethez való joguk is erősítésre kerül. A lakosság elégedettségével, biztonságérzetével egyenesen arányosan növeljük a térségben maradási szándékukat. A közbiztonság fejlesztése érdekében az érintett településeken a közvilágítást fejlesztjük a forgalmasabb és </w:t>
                      </w:r>
                      <w:proofErr w:type="spellStart"/>
                      <w:r w:rsidRPr="00C44881">
                        <w:rPr>
                          <w:color w:val="5C768E" w:themeColor="accent1"/>
                          <w:sz w:val="22"/>
                        </w:rPr>
                        <w:t>frekventáltabb</w:t>
                      </w:r>
                      <w:proofErr w:type="spellEnd"/>
                      <w:r w:rsidRPr="00C44881">
                        <w:rPr>
                          <w:color w:val="5C768E" w:themeColor="accent1"/>
                          <w:sz w:val="22"/>
                        </w:rPr>
                        <w:t xml:space="preserve"> helyszíneken, valamint a lakott külterületi területeken. A fejlesztés révén az éjszakai órákban is világosban közlekedhetnek a lakosok, turisták, így biztonságban érezhetik magukat a megvalósítást követően.</w:t>
                      </w:r>
                    </w:p>
                    <w:p w14:paraId="2CB3194A" w14:textId="77777777" w:rsidR="00C44881" w:rsidRDefault="00C44881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14E507EB" w14:textId="126E4E00" w:rsidR="00C44881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2025.0</w:t>
                      </w:r>
                      <w:r w:rsidR="00773EE8">
                        <w:rPr>
                          <w:color w:val="5C768E" w:themeColor="accent1"/>
                          <w:sz w:val="22"/>
                          <w:szCs w:val="22"/>
                        </w:rPr>
                        <w:t>9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.01.</w:t>
                      </w:r>
                    </w:p>
                    <w:p w14:paraId="6839781B" w14:textId="5E15C742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773EE8">
                        <w:rPr>
                          <w:color w:val="5C768E" w:themeColor="accent1"/>
                          <w:sz w:val="22"/>
                          <w:szCs w:val="22"/>
                        </w:rPr>
                        <w:t>7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  <w:r w:rsidR="00773EE8">
                        <w:rPr>
                          <w:color w:val="5C768E" w:themeColor="accent1"/>
                          <w:sz w:val="22"/>
                          <w:szCs w:val="22"/>
                        </w:rPr>
                        <w:t>08</w:t>
                      </w:r>
                      <w:r w:rsidR="006C7370">
                        <w:rPr>
                          <w:color w:val="5C768E" w:themeColor="accent1"/>
                          <w:sz w:val="22"/>
                          <w:szCs w:val="22"/>
                        </w:rPr>
                        <w:t>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26D05DD1" w:rsidR="009C2B3C" w:rsidRDefault="00915615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Zalakaros</w:t>
                      </w:r>
                      <w:r w:rsidR="00C25407">
                        <w:rPr>
                          <w:color w:val="5C768E" w:themeColor="accent1"/>
                          <w:sz w:val="24"/>
                          <w:szCs w:val="24"/>
                        </w:rPr>
                        <w:t>, 2025.11.12.</w:t>
                      </w:r>
                    </w:p>
                    <w:p w14:paraId="62EC0099" w14:textId="77777777" w:rsidR="009072B7" w:rsidRDefault="009072B7" w:rsidP="009072B7">
                      <w:pPr>
                        <w:pStyle w:val="Norm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DFD609" wp14:editId="3022D2B0">
                            <wp:extent cx="6964680" cy="3352800"/>
                            <wp:effectExtent l="0" t="0" r="7620" b="0"/>
                            <wp:docPr id="4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4680" cy="335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4A6B78" w14:textId="77777777" w:rsidR="00D9639F" w:rsidRDefault="00D9639F" w:rsidP="00D9639F">
                      <w:pPr>
                        <w:spacing w:after="0"/>
                        <w:ind w:right="62"/>
                        <w:jc w:val="center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07DFF80" w14:textId="77777777" w:rsidR="00D9639F" w:rsidRDefault="00D9639F" w:rsidP="00D9639F">
                      <w:pPr>
                        <w:spacing w:after="0"/>
                        <w:ind w:right="62"/>
                        <w:jc w:val="center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7D62F298" w14:textId="5B09C2AB" w:rsidR="00D9639F" w:rsidRDefault="00D9639F" w:rsidP="00D9639F">
                      <w:pPr>
                        <w:spacing w:after="0"/>
                        <w:ind w:right="62"/>
                        <w:jc w:val="center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címer helye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5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1EE0290C">
                <wp:simplePos x="0" y="0"/>
                <wp:positionH relativeFrom="margin">
                  <wp:align>center</wp:align>
                </wp:positionH>
                <wp:positionV relativeFrom="paragraph">
                  <wp:posOffset>1765300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2BDD13C9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0;margin-top:139pt;width:468.75pt;height:24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" filled="f" stroked="f" strokeweight=".5pt">
                <v:textbox>
                  <w:txbxContent>
                    <w:p w14:paraId="441FBA26" w14:textId="2BDD13C9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5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791B8F56">
                <wp:simplePos x="0" y="0"/>
                <wp:positionH relativeFrom="margin">
                  <wp:posOffset>-518795</wp:posOffset>
                </wp:positionH>
                <wp:positionV relativeFrom="paragraph">
                  <wp:posOffset>1195705</wp:posOffset>
                </wp:positionV>
                <wp:extent cx="6891655" cy="57912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4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78B2" w14:textId="77777777" w:rsidR="00DA760E" w:rsidRDefault="00DA760E" w:rsidP="008531CD">
      <w:r>
        <w:separator/>
      </w:r>
    </w:p>
  </w:endnote>
  <w:endnote w:type="continuationSeparator" w:id="0">
    <w:p w14:paraId="22EEC539" w14:textId="77777777" w:rsidR="00DA760E" w:rsidRDefault="00DA760E" w:rsidP="008531CD">
      <w:r>
        <w:continuationSeparator/>
      </w:r>
    </w:p>
  </w:endnote>
  <w:endnote w:type="continuationNotice" w:id="1">
    <w:p w14:paraId="4DEDF5F0" w14:textId="77777777" w:rsidR="00DA760E" w:rsidRDefault="00DA7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E230" w14:textId="77777777" w:rsidR="00DA760E" w:rsidRDefault="00DA760E" w:rsidP="008531CD">
      <w:r>
        <w:separator/>
      </w:r>
    </w:p>
  </w:footnote>
  <w:footnote w:type="continuationSeparator" w:id="0">
    <w:p w14:paraId="3F175CA3" w14:textId="77777777" w:rsidR="00DA760E" w:rsidRDefault="00DA760E" w:rsidP="008531CD">
      <w:r>
        <w:continuationSeparator/>
      </w:r>
    </w:p>
  </w:footnote>
  <w:footnote w:type="continuationNotice" w:id="1">
    <w:p w14:paraId="6B643D65" w14:textId="77777777" w:rsidR="00DA760E" w:rsidRDefault="00DA76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FA5C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842139">
    <w:abstractNumId w:val="2"/>
  </w:num>
  <w:num w:numId="2" w16cid:durableId="1986468233">
    <w:abstractNumId w:val="3"/>
  </w:num>
  <w:num w:numId="3" w16cid:durableId="2143183090">
    <w:abstractNumId w:val="0"/>
  </w:num>
  <w:num w:numId="4" w16cid:durableId="163058217">
    <w:abstractNumId w:val="4"/>
  </w:num>
  <w:num w:numId="5" w16cid:durableId="205700345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08F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3D3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BF7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2F86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16A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370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3EE8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B796F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57C7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93D"/>
    <w:rsid w:val="00905B04"/>
    <w:rsid w:val="009072B7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15615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4EA9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16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5E0C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667E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5D35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25407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881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39F"/>
    <w:rsid w:val="00D96986"/>
    <w:rsid w:val="00D975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0E"/>
    <w:rsid w:val="00DA7675"/>
    <w:rsid w:val="00DB2388"/>
    <w:rsid w:val="00DB27B8"/>
    <w:rsid w:val="00DB3B07"/>
    <w:rsid w:val="00DB44F8"/>
    <w:rsid w:val="00DB5329"/>
    <w:rsid w:val="00DB68D2"/>
    <w:rsid w:val="00DC03CC"/>
    <w:rsid w:val="00DC0734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78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642F-5F55-400E-A044-96947970E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7AC12-4D02-4785-89A9-7A348115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Hivatal3</cp:lastModifiedBy>
  <cp:revision>4</cp:revision>
  <cp:lastPrinted>2025-11-13T08:50:00Z</cp:lastPrinted>
  <dcterms:created xsi:type="dcterms:W3CDTF">2025-11-17T09:47:00Z</dcterms:created>
  <dcterms:modified xsi:type="dcterms:W3CDTF">2025-11-17T11:21:00Z</dcterms:modified>
</cp:coreProperties>
</file>